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40478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b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附件1</w:t>
      </w:r>
    </w:p>
    <w:p w14:paraId="0AABDAF0" w14:textId="77777777" w:rsidR="00940AEF" w:rsidRDefault="00871D3E">
      <w:pPr>
        <w:widowControl/>
        <w:shd w:val="clear" w:color="auto" w:fill="FFFFFF"/>
        <w:snapToGrid w:val="0"/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Style w:val="a6"/>
          <w:rFonts w:ascii="黑体" w:eastAsia="黑体" w:hAnsi="黑体" w:cs="黑体" w:hint="eastAsia"/>
          <w:kern w:val="0"/>
          <w:sz w:val="44"/>
          <w:szCs w:val="44"/>
          <w:shd w:val="clear" w:color="auto" w:fill="FFFFFF"/>
          <w:lang w:bidi="ar"/>
        </w:rPr>
        <w:t>遴选专题的研究内容和考核指标</w:t>
      </w:r>
    </w:p>
    <w:p w14:paraId="543DEF73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“福建沿海有害赤潮预警防控技术研发与示范”项目</w:t>
      </w:r>
    </w:p>
    <w:p w14:paraId="27DC5228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遴选专题研究内容和考核指标</w:t>
      </w:r>
    </w:p>
    <w:p w14:paraId="456F4A17" w14:textId="77777777" w:rsidR="00940AEF" w:rsidRDefault="00871D3E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专题1：福建沿海典型赤潮</w:t>
      </w:r>
      <w:proofErr w:type="gramStart"/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藻现场</w:t>
      </w:r>
      <w:proofErr w:type="gramEnd"/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模拟技术及赤潮轨迹预报模型的研发与应用</w:t>
      </w:r>
    </w:p>
    <w:p w14:paraId="7C46D758" w14:textId="77777777" w:rsidR="00940AEF" w:rsidRDefault="00871D3E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（一）研究内容</w:t>
      </w:r>
    </w:p>
    <w:p w14:paraId="2ADFDBA8" w14:textId="788484FA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1.探究福建沿海典型赤潮内在形成机制，揭示其生物生长繁殖特性。选取福建海域经常爆发的赤潮藻种（东海原甲藻、米氏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凯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伦藻、中肋骨条藻、球形棕囊藻、细弱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海链藻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等）进行野外驯化培养，并选取其中2-3种赤潮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藻扩培至</w:t>
      </w:r>
      <w:proofErr w:type="gramEnd"/>
      <w:r w:rsidR="007A51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0立方米规模，阐明生长机制和影响因子，为有害赤潮应急减灾防治体系建设提供标准藻种和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藻化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现场。</w:t>
      </w:r>
    </w:p>
    <w:p w14:paraId="00DE237D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2.基于高精度预报的三维流场，利用拉格朗日粒子追踪方法，构建赤潮漂移轨迹模型，实现对赤潮漂移扩散路径和影响范围的预测，为赤潮灾害的预防和应对提供科学依据和技术支持。</w:t>
      </w:r>
    </w:p>
    <w:p w14:paraId="3CA6F0E2" w14:textId="77777777" w:rsidR="00940AEF" w:rsidRDefault="00871D3E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（二）考核指标</w:t>
      </w:r>
    </w:p>
    <w:p w14:paraId="246A07C9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1.提交工作报告和技术报告各1份；</w:t>
      </w:r>
    </w:p>
    <w:p w14:paraId="405B044C" w14:textId="6B13DC5B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2.将福建海域经常爆发的赤潮藻种（东海原甲藻、米氏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凯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伦藻、中肋骨条藻、球形棕囊藻、细弱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海链藻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等）进行野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外驯化培养，并选取其中2-3种赤潮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藻扩培至</w:t>
      </w:r>
      <w:proofErr w:type="gramEnd"/>
      <w:r w:rsidR="007A51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0立方米规模；</w:t>
      </w:r>
    </w:p>
    <w:p w14:paraId="2B9DF8B5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3.研发赤潮轨迹预报模型，该模型在获取海上赤潮发生时间、地点等基本信息后20分钟内完成预测计算并制作出未来48小时轨迹预报产品。</w:t>
      </w:r>
      <w:bookmarkStart w:id="0" w:name="_GoBack"/>
      <w:bookmarkEnd w:id="0"/>
    </w:p>
    <w:p w14:paraId="78D0D2B9" w14:textId="77777777" w:rsidR="00940AEF" w:rsidRDefault="00871D3E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（三）合作单位要求</w:t>
      </w:r>
    </w:p>
    <w:p w14:paraId="6EA6FCF3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课题合作单位不限地域，与牵头单位共同完成考核指标。</w:t>
      </w:r>
    </w:p>
    <w:p w14:paraId="0A7B04C4" w14:textId="77777777" w:rsidR="00940AEF" w:rsidRDefault="00871D3E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专题2：典型赤潮藻类高效吸附材料研发及效果评估</w:t>
      </w:r>
    </w:p>
    <w:p w14:paraId="33B760D1" w14:textId="77777777" w:rsidR="00940AEF" w:rsidRDefault="00871D3E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（一）研究内容</w:t>
      </w:r>
    </w:p>
    <w:p w14:paraId="5343215A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1.对福建海域高频发生的赤潮藻种（东海原甲藻、米氏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凯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伦藻、球形棕囊藻等）分布和形态结构进行分析，研究阐明典型赤潮藻爆发期间在海水中的三维空间矢量分布（位移场、温度场、流场等）、表面性质（电荷分布、亲和作用等）及生化要素时空分布特征，并采集赤潮现场海水开展典型生物毒性评价，提出不同空间分布状态下赤潮藻毒性数据，为赤潮藻进一步防控提供数据支撑。</w:t>
      </w:r>
    </w:p>
    <w:p w14:paraId="6BDED721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2.设计开发高效吸附赤潮藻的多介质过滤拦网，调控优化聚合高分子表面氨基化、醛基缩合接枝季铵盐反应，开展结构形貌、谱学、耐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候分析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等表征，制备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表面键合接枝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高分子季铵盐改性的聚合纤维滤网，实现多介质过滤拦网织物材料的表面修饰功能化，与P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等高聚物网耦合形成多介质过滤拦网；开展过滤拦网前后的流体动力学研究，研究海水贯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穿多介质过滤拦网的流体动力学和流场模型，优化形成表面季铵盐功能化、高效吸附赤潮藻的多介质多维吸附拦网，研发形成高效除藻、吸附作用强的新型拦网材料和处置系统。</w:t>
      </w:r>
    </w:p>
    <w:p w14:paraId="0C7B307B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3.开展赤潮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藻快速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消减技术研究，模拟不同水文参数下赤潮藻吸附，研究不同拦网结构、空间分布条件下的吸附容量、吸附效率以及生化要素时空分布特征，研究拦网的吸附效率、溶氧影响和环境耐受性，并采集赤潮现场海水开展吸附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后典型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生物毒性评价，优化功能化改性拦网对赤潮藻类（东海原甲藻等）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的除藻净化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能力和养殖安全性，建立赤潮藻密度的快速、绿色消减技术。</w:t>
      </w:r>
    </w:p>
    <w:p w14:paraId="5CECF898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（二）考核指标</w:t>
      </w:r>
    </w:p>
    <w:p w14:paraId="6476F1BD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1.提交工作报告和技术报告各1份；</w:t>
      </w:r>
    </w:p>
    <w:p w14:paraId="66F53A45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2.研制高效除藻、吸附作用强的新型多介质吸附材料，开发可用于养殖区海水赤潮藻的拦网装置1项；初步建立赤潮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藻快速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消减技术，典型赤潮藻吸附消减效率为6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0-80%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以上；</w:t>
      </w:r>
    </w:p>
    <w:p w14:paraId="122D93A7" w14:textId="77777777" w:rsidR="00940AEF" w:rsidRDefault="00871D3E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3.申请专利2件。</w:t>
      </w:r>
    </w:p>
    <w:p w14:paraId="26ED3CFF" w14:textId="77777777" w:rsidR="00940AEF" w:rsidRDefault="00871D3E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（三）合作单位要求</w:t>
      </w:r>
    </w:p>
    <w:p w14:paraId="7981EB48" w14:textId="6E6A2A62" w:rsidR="00940AEF" w:rsidRDefault="00871D3E" w:rsidP="00F2295C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课题合作单位不限地域，与牵头单位共同完成考核指标。</w:t>
      </w:r>
    </w:p>
    <w:sectPr w:rsidR="0094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EE01D" w14:textId="77777777" w:rsidR="00734D53" w:rsidRDefault="00734D53" w:rsidP="009634B0">
      <w:r>
        <w:separator/>
      </w:r>
    </w:p>
  </w:endnote>
  <w:endnote w:type="continuationSeparator" w:id="0">
    <w:p w14:paraId="78E0B6C9" w14:textId="77777777" w:rsidR="00734D53" w:rsidRDefault="00734D53" w:rsidP="0096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1F3FB" w14:textId="77777777" w:rsidR="00734D53" w:rsidRDefault="00734D53" w:rsidP="009634B0">
      <w:r>
        <w:separator/>
      </w:r>
    </w:p>
  </w:footnote>
  <w:footnote w:type="continuationSeparator" w:id="0">
    <w:p w14:paraId="5217D4AB" w14:textId="77777777" w:rsidR="00734D53" w:rsidRDefault="00734D53" w:rsidP="0096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7E3F4"/>
    <w:multiLevelType w:val="singleLevel"/>
    <w:tmpl w:val="EFD7E3F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61"/>
    <w:rsid w:val="00047661"/>
    <w:rsid w:val="00320DA1"/>
    <w:rsid w:val="003F0720"/>
    <w:rsid w:val="00453661"/>
    <w:rsid w:val="00734D53"/>
    <w:rsid w:val="00763839"/>
    <w:rsid w:val="0079516C"/>
    <w:rsid w:val="007A517A"/>
    <w:rsid w:val="007B523E"/>
    <w:rsid w:val="00871D3E"/>
    <w:rsid w:val="008A0F4F"/>
    <w:rsid w:val="008B25D3"/>
    <w:rsid w:val="00940AEF"/>
    <w:rsid w:val="009634B0"/>
    <w:rsid w:val="00A40642"/>
    <w:rsid w:val="00B40F0A"/>
    <w:rsid w:val="00B50ECB"/>
    <w:rsid w:val="00B84BBB"/>
    <w:rsid w:val="00BF44DB"/>
    <w:rsid w:val="00F2295C"/>
    <w:rsid w:val="00F32A69"/>
    <w:rsid w:val="00F33593"/>
    <w:rsid w:val="00F47031"/>
    <w:rsid w:val="01CA5DA6"/>
    <w:rsid w:val="029702A0"/>
    <w:rsid w:val="059D002F"/>
    <w:rsid w:val="05F812DD"/>
    <w:rsid w:val="07E8637B"/>
    <w:rsid w:val="099C263F"/>
    <w:rsid w:val="0A5D5410"/>
    <w:rsid w:val="0B5F3925"/>
    <w:rsid w:val="0D7002CE"/>
    <w:rsid w:val="118440E5"/>
    <w:rsid w:val="11F22685"/>
    <w:rsid w:val="15080B89"/>
    <w:rsid w:val="18422604"/>
    <w:rsid w:val="18FF55A6"/>
    <w:rsid w:val="1B6F1962"/>
    <w:rsid w:val="1D1218AC"/>
    <w:rsid w:val="25E82A3D"/>
    <w:rsid w:val="26751DF6"/>
    <w:rsid w:val="26A60202"/>
    <w:rsid w:val="26AF6200"/>
    <w:rsid w:val="27340A4D"/>
    <w:rsid w:val="28F039B6"/>
    <w:rsid w:val="29360666"/>
    <w:rsid w:val="2B6969E4"/>
    <w:rsid w:val="2BEA56D2"/>
    <w:rsid w:val="2C1300E8"/>
    <w:rsid w:val="2D23459D"/>
    <w:rsid w:val="346534AA"/>
    <w:rsid w:val="347B0F20"/>
    <w:rsid w:val="35610116"/>
    <w:rsid w:val="36330CB4"/>
    <w:rsid w:val="37841C6C"/>
    <w:rsid w:val="3B7906D0"/>
    <w:rsid w:val="3B8D3437"/>
    <w:rsid w:val="3E7F33BB"/>
    <w:rsid w:val="42567063"/>
    <w:rsid w:val="44E678A3"/>
    <w:rsid w:val="45975B03"/>
    <w:rsid w:val="49013AB3"/>
    <w:rsid w:val="51383FC9"/>
    <w:rsid w:val="570404A9"/>
    <w:rsid w:val="571B70F9"/>
    <w:rsid w:val="58035BF4"/>
    <w:rsid w:val="5B8B37BD"/>
    <w:rsid w:val="5DDE6A81"/>
    <w:rsid w:val="5EB32ECA"/>
    <w:rsid w:val="65BF03BD"/>
    <w:rsid w:val="668E32C6"/>
    <w:rsid w:val="67261720"/>
    <w:rsid w:val="673D3C8F"/>
    <w:rsid w:val="69132EFA"/>
    <w:rsid w:val="6AD07195"/>
    <w:rsid w:val="6ADB6C03"/>
    <w:rsid w:val="6E77591A"/>
    <w:rsid w:val="71486485"/>
    <w:rsid w:val="738A200A"/>
    <w:rsid w:val="741C69DA"/>
    <w:rsid w:val="747405C4"/>
    <w:rsid w:val="76C84BF7"/>
    <w:rsid w:val="799D1EB8"/>
    <w:rsid w:val="7BDC361F"/>
    <w:rsid w:val="7DB303AF"/>
    <w:rsid w:val="7E4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Char"/>
    <w:rsid w:val="0096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634B0"/>
    <w:rPr>
      <w:kern w:val="2"/>
      <w:sz w:val="18"/>
      <w:szCs w:val="18"/>
    </w:rPr>
  </w:style>
  <w:style w:type="paragraph" w:styleId="a8">
    <w:name w:val="footer"/>
    <w:basedOn w:val="a"/>
    <w:link w:val="Char0"/>
    <w:rsid w:val="0096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9634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Char"/>
    <w:rsid w:val="0096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634B0"/>
    <w:rPr>
      <w:kern w:val="2"/>
      <w:sz w:val="18"/>
      <w:szCs w:val="18"/>
    </w:rPr>
  </w:style>
  <w:style w:type="paragraph" w:styleId="a8">
    <w:name w:val="footer"/>
    <w:basedOn w:val="a"/>
    <w:link w:val="Char0"/>
    <w:rsid w:val="0096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9634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84222</dc:creator>
  <cp:lastModifiedBy>DELL</cp:lastModifiedBy>
  <cp:revision>4</cp:revision>
  <dcterms:created xsi:type="dcterms:W3CDTF">2025-03-07T07:34:00Z</dcterms:created>
  <dcterms:modified xsi:type="dcterms:W3CDTF">2025-03-10T00:27:00Z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eyJoZGlkIjoiYzhlOTRlODEwNDMzNzIyMGJmZDZiOTAyNDFkYTNiZTIiLCJ1c2VySWQiOiI2NzU3OTEyNDQifQ==</vt:lpwstr>
  </property>
  <property fmtid="{D5CDD505-2E9C-101B-9397-08002B2CF9AE}" pid="4" name="ICV">
    <vt:lpwstr>E3752613418648F3B0AAED488C14E377_13</vt:lpwstr>
  </property>
</Properties>
</file>